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8.png" ContentType="image/png"/>
  <Override PartName="/word/media/rId36.png" ContentType="image/png"/>
  <Override PartName="/word/media/rId40.png" ContentType="image/png"/>
  <Override PartName="/word/media/rId44.png" ContentType="image/png"/>
  <Override PartName="/word/media/rId72.png" ContentType="image/png"/>
  <Override PartName="/word/media/rId56.png" ContentType="image/png"/>
  <Override PartName="/word/media/rId52.png" ContentType="image/png"/>
  <Override PartName="/word/media/rId60.png" ContentType="image/png"/>
  <Override PartName="/word/media/rId64.png" ContentType="image/png"/>
  <Override PartName="/word/media/rId68.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Long</w:t>
      </w:r>
      <w:r>
        <w:t xml:space="preserve"> </w:t>
      </w:r>
      <w:r>
        <w:t xml:space="preserve">&amp;</w:t>
      </w:r>
      <w:r>
        <w:t xml:space="preserve"> </w:t>
      </w:r>
      <w:r>
        <w:t xml:space="preserve">low;</w:t>
      </w:r>
      <w:r>
        <w:t xml:space="preserve"> </w:t>
      </w:r>
      <w:r>
        <w:t xml:space="preserve">or</w:t>
      </w:r>
      <w:r>
        <w:t xml:space="preserve"> </w:t>
      </w:r>
      <w:r>
        <w:t xml:space="preserve">high</w:t>
      </w:r>
      <w:r>
        <w:t xml:space="preserve"> </w:t>
      </w:r>
      <w:r>
        <w:t xml:space="preserve">&amp;</w:t>
      </w:r>
      <w:r>
        <w:t xml:space="preserve"> </w:t>
      </w:r>
      <w:r>
        <w:t xml:space="preserve">short;</w:t>
      </w:r>
      <w:r>
        <w:t xml:space="preserve"> </w:t>
      </w:r>
      <w:r>
        <w:t xml:space="preserve">photoperiods</w:t>
      </w:r>
      <w:r>
        <w:t xml:space="preserve"> </w:t>
      </w:r>
      <w:r>
        <w:t xml:space="preserve">and</w:t>
      </w:r>
      <w:r>
        <w:t xml:space="preserve"> </w:t>
      </w:r>
      <w:r>
        <w:t xml:space="preserve">light</w:t>
      </w:r>
      <w:r>
        <w:t xml:space="preserve"> </w:t>
      </w:r>
      <w:r>
        <w:t xml:space="preserve">differential</w:t>
      </w:r>
      <w:r>
        <w:t xml:space="preserve"> </w:t>
      </w:r>
      <w:r>
        <w:t xml:space="preserve">growth</w:t>
      </w:r>
      <w:r>
        <w:t xml:space="preserve"> </w:t>
      </w:r>
      <w:r>
        <w:t xml:space="preserve">yields</w:t>
      </w:r>
      <w:r>
        <w:t xml:space="preserve"> </w:t>
      </w:r>
      <w:r>
        <w:t xml:space="preserve">and</w:t>
      </w:r>
      <w:r>
        <w:t xml:space="preserve"> </w:t>
      </w:r>
      <w:r>
        <w:t xml:space="preserve">light-capture</w:t>
      </w:r>
      <w:r>
        <w:t xml:space="preserve"> </w:t>
      </w:r>
      <w:r>
        <w:t xml:space="preserve">capacities</w:t>
      </w:r>
      <w:r>
        <w:t xml:space="preserve"> </w:t>
      </w:r>
      <w:r>
        <w:t xml:space="preserve">of</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76" w:name="supporting-information"/>
    <w:p>
      <w:pPr>
        <w:pStyle w:val="Heading1"/>
      </w:pPr>
      <w:r>
        <w:t xml:space="preserve">Supporting Information</w:t>
      </w:r>
    </w:p>
    <w:p>
      <w:pPr>
        <w:pStyle w:val="FirstParagraph"/>
      </w:pPr>
      <w:r>
        <w:t xml:space="preserve"> </w:t>
      </w:r>
      <w:r>
        <w:t xml:space="preserve"> </w:t>
      </w:r>
    </w:p>
    <w:p>
      <w:pPr>
        <w:pStyle w:val="TableCaption"/>
      </w:pPr>
      <w:bookmarkStart w:id="21" w:name="tab:unnamed-chunk-1"/>
      <w:bookmarkEnd w:id="21"/>
      <w:r>
        <w:t xml:space="preserve">Tab.1:</w:t>
      </w:r>
      <w:r>
        <w:t xml:space="preserve"> </w:t>
      </w:r>
      <w:r>
        <w:t xml:space="preserve">Linear regression, coefficient of determination (R square), Pearson correlation coefficients (R), and p-value used to calculate the pigment content (µg mL-1) of two PhycoCyanin(PC)-rich cultures (056, 077) and two PhycoErythrin(PE)-rich cultures (048, 127) (Culture Collection of Baltic Algae) of Synechococcus sp. based on absorbance (A)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22" w:name="tab:unnamed-chunk-2"/>
      <w:bookmarkEnd w:id="22"/>
      <w:r>
        <w:t xml:space="preserve">Tab.2:</w:t>
      </w:r>
      <w:r>
        <w:t xml:space="preserve"> </w:t>
      </w:r>
      <w:r>
        <w:t xml:space="preserve">Three-way factorial ANOVA testing whether peak PAR, photoperiod, strain, and their interactions (Source_of_variation), significantly influence the chlorophyll specific exponential growth rate (µ; d−1), estimated from logistic fits of chlorophyll proxy OD680 – OD720 vs. cumulative diel PUR,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BodyText"/>
      </w:pPr>
    </w:p>
    <w:p>
      <w:pPr>
        <w:pStyle w:val="TableCaption"/>
      </w:pPr>
      <w:bookmarkStart w:id="23" w:name="tab:unnamed-chunk-3"/>
      <w:bookmarkEnd w:id="23"/>
      <w:r>
        <w:t xml:space="preserve">Tab.3:</w:t>
      </w:r>
      <w:r>
        <w:t xml:space="preserve"> </w:t>
      </w:r>
      <w:r>
        <w:t xml:space="preserve">One-way ANOVA of a three parameter model (Harrison and Platt 1986) from pooled data (All) and data fit across different photoperiods (8, 12, 16, or 24) from chlorophyll specific exponential growth rate vs. cumulative diel PUR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1.807e+03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6.193e+01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2.477e+01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8.403e+00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6.908e+00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7.812e+01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24" w:name="tab:unnamed-chunk-4"/>
      <w:bookmarkEnd w:id="24"/>
      <w:r>
        <w:t xml:space="preserve">Tab.4:</w:t>
      </w:r>
      <w:r>
        <w:t xml:space="preserve"> </w:t>
      </w:r>
      <w:r>
        <w:t xml:space="preserve">One-way ANOVA of a three parameter model (Harrison and Platt 1986) from pooled data (All) and data fit across different peak PAR (30, 90, 180, 300, 600 together with 900) from chlorophyll specific exponential growth rate vs. cumulative diel PUR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1.807e+03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6.193e+01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2.477e+01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0.822</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8.403e+00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0.328</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6.908e+00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3.523e+00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0.026</w:t>
            </w:r>
          </w:p>
        </w:tc>
      </w:tr>
    </w:tbl>
    <w:p>
      <w:pPr>
        <w:pStyle w:val="BodyText"/>
      </w:pPr>
    </w:p>
    <w:p>
      <w:pPr>
        <w:pStyle w:val="TableCaption"/>
      </w:pPr>
      <w:bookmarkStart w:id="25" w:name="tab:unnamed-chunk-5"/>
      <w:bookmarkEnd w:id="25"/>
      <w:r>
        <w:t xml:space="preserve">Tab.5:</w:t>
      </w:r>
      <w:r>
        <w:t xml:space="preserve"> </w:t>
      </w:r>
      <w:r>
        <w:t xml:space="preserve">One-way ANOVA of a three parameter model (Harrison and Platt 1986) from pooled data (All) and data fit across different photoperiods (8, 12, 16, or 24) from chlorophyll specific exponential growth rate vs. cumulative diel PAR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26" w:name="tab:unnamed-chunk-6"/>
      <w:bookmarkEnd w:id="26"/>
      <w:r>
        <w:t xml:space="preserve">Tab.6:</w:t>
      </w:r>
      <w:r>
        <w:t xml:space="preserve"> </w:t>
      </w:r>
      <w:r>
        <w:t xml:space="preserve">One-way ANOVA of a three parameter model (Harrison and Platt 1986) from pooled data (All) and data fit across different peak PAR (30, 90, 180, 300, 600 together with 900) from chlorophyll specific exponential growth rate vs. cumulative diel PAR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2.573e+00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BodyText"/>
      </w:pPr>
    </w:p>
    <w:p>
      <w:pPr>
        <w:pStyle w:val="TableCaption"/>
      </w:pPr>
      <w:bookmarkStart w:id="27" w:name="tab:unnamed-chunk-7"/>
      <w:bookmarkEnd w:id="27"/>
      <w:r>
        <w:t xml:space="preserve">Tab.7:</w:t>
      </w:r>
      <w:r>
        <w:t xml:space="preserve"> </w:t>
      </w:r>
      <w:r>
        <w:t xml:space="preserve">One-way ANOVA of a three parameter model (Harrison and Platt 1986) from pooled data (All) and data fit across different photoperiods (8, 12, 16, or 24) from chlorophyll specific exponential growth rate vs. PSII electron flux (JVPSII; µmol e− µmol Chl a−1 d−1)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3.972e+00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0.730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2.287e-01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3.332e+00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0.459</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0.260</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1.977e+00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0.174</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5.540e-01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0.903</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6.716e-01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0.817</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7.994e+00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4.159e+00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5.525e-01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0.882</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0.504</w:t>
            </w:r>
          </w:p>
        </w:tc>
      </w:tr>
    </w:tbl>
    <w:p>
      <w:pPr>
        <w:pStyle w:val="BodyText"/>
      </w:pPr>
    </w:p>
    <w:p>
      <w:pPr>
        <w:pStyle w:val="TableCaption"/>
      </w:pPr>
      <w:bookmarkStart w:id="28" w:name="tab:unnamed-chunk-8"/>
      <w:bookmarkEnd w:id="28"/>
      <w:r>
        <w:t xml:space="preserve">Tab.8:</w:t>
      </w:r>
      <w:r>
        <w:t xml:space="preserve"> </w:t>
      </w:r>
      <w:r>
        <w:t xml:space="preserve">One-way ANOVA of a three parameter model (Harrison and Platt 1986) from pooled data (All) and data fit across different peak PAR (30, 90, 180, 300, 600 together with 900) from chlorophyll specific exponential growth rate vs. PSII electron flux (JVPSII; µmol e− µmol Chl a−1 d−1)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3.972e+00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0.730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2.287e-01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3.332e+00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2.156e+00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0.044</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0.287</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1.977e+00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0.174</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5.540e-01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0.903</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6.716e-01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0.817</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7.994e+00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4.159e+00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5.525e-01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0.882</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0.504</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3.784e+00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BodyText"/>
      </w:pPr>
    </w:p>
    <w:p>
      <w:pPr>
        <w:pStyle w:val="TableCaption"/>
      </w:pPr>
      <w:bookmarkStart w:id="29" w:name="tab:unnamed-chunk-9"/>
      <w:bookmarkEnd w:id="29"/>
      <w:r>
        <w:t xml:space="preserve">Tab.9:</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PUR/PAR ratio in relation to the cumulative diel PAR (µmol photons m−2d−1),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2.813e+01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5.386e+00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0.168</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0.195</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4.128e+01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r>
    </w:tbl>
    <w:p>
      <w:pPr>
        <w:pStyle w:val="BodyText"/>
      </w:pPr>
    </w:p>
    <w:p>
      <w:pPr>
        <w:pStyle w:val="TableCaption"/>
      </w:pPr>
      <w:bookmarkStart w:id="30" w:name="tab:unnamed-chunk-10"/>
      <w:bookmarkEnd w:id="30"/>
      <w:r>
        <w:t xml:space="preserve">Tab.10:</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Phycobiliprotein to Chl a ratio in relation to the cumulative diel PAR (µmol photons m−2d−1),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1.531e+01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0.088</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9.255e+00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9.531e+00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8.820e+00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31" w:name="tab:unnamed-chunk-11"/>
      <w:bookmarkEnd w:id="31"/>
      <w:r>
        <w:t xml:space="preserve">Tab.11:</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Ex590nm (orange) excitation in relation to the cumulative diel PAR (µmol photons m−2d−1),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9.926e-01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0.469</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8.037e+00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0.995</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2.921e+00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bl>
    <w:p>
      <w:pPr>
        <w:pStyle w:val="BodyText"/>
      </w:pPr>
    </w:p>
    <w:p>
      <w:pPr>
        <w:pStyle w:val="TableCaption"/>
      </w:pPr>
      <w:bookmarkStart w:id="32" w:name="tab:unnamed-chunk-12"/>
      <w:bookmarkEnd w:id="32"/>
      <w:r>
        <w:t xml:space="preserve">Tab.12:</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(σPSIIʹ; nm2 quanta−1) measured under diel peak PAR growth light under Ex445nm (blue) excitation in relation to the cumulative diel PAR (µmol photons m−2d−1, for two PhycoCyanin(PC)-rich cultures (056, 077) and two PhycoErythrin(PE)-rich cultures (048, 127)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78"/>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-1.451e-09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1.058e-09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0.395</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-7.373e-10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6.274e-10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1.336e-09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-7.077e-10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2.487e-09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0.132</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6.391e-09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9.166e-10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9.930e-09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5.056e-09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BodyText"/>
      </w:pPr>
    </w:p>
    <w:p>
      <w:pPr>
        <w:pStyle w:val="TableCaption"/>
      </w:pPr>
      <w:bookmarkStart w:id="33" w:name="tab:unnamed-chunk-13"/>
      <w:bookmarkEnd w:id="33"/>
      <w:r>
        <w:t xml:space="preserve">Tab.13:</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(σPSIIʹ; nm2 quanta−1) measured under diel peak PAR growth light under Ex445nm (blue) excitation in relation to Phycobiliprotein to Chl a ratio, for two PhycoCyanin(PC)-rich cultures (056, 077) and two PhycoErythrin(PE)-rich cultures (048, 127)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0.672</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0.253</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r>
    </w:tbl>
    <w:p>
      <w:pPr>
        <w:pStyle w:val="BodyText"/>
      </w:pPr>
    </w:p>
    <w:p>
      <w:pPr>
        <w:pStyle w:val="TableCaption"/>
      </w:pPr>
      <w:bookmarkStart w:id="34" w:name="tab:unnamed-chunk-14"/>
      <w:bookmarkEnd w:id="34"/>
      <w:r>
        <w:t xml:space="preserve">Tab.14:</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Ex590nm (orange) excitation in relation to the Phycobiliprotein to Chl a ratio, for two PhycoCyanin(PC)-rich cultures (056, 077) and two PhycoErythrin(PE)-rich cultures (048, 127)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r>
    </w:tbl>
    <w:p>
      <w:pPr>
        <w:pStyle w:val="BodyText"/>
      </w:pPr>
    </w:p>
    <w:p>
      <w:pPr>
        <w:pStyle w:val="TableCaption"/>
      </w:pPr>
      <w:bookmarkStart w:id="35" w:name="tab:unnamed-chunk-15"/>
      <w:bookmarkEnd w:id="35"/>
      <w:r>
        <w:t xml:space="preserve">Tab.15:</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Ex590nm (orange) excitation in relation to the Phycobiliprotein to Chl a ratio, for two PhycoCyanin(PC)-rich cultures (056, 077) and two PhycoErythrin(PE)-rich cultures (048, 127)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0.062</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0.073</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0.877</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bl>
    <w:p>
      <w:pPr>
        <w:pStyle w:val="BodyText"/>
      </w:pPr>
    </w:p>
    <w:p>
      <w:pPr>
        <w:pStyle w:val="CaptionedFigure"/>
      </w:pPr>
      <w:r>
        <w:drawing>
          <wp:inline>
            <wp:extent cx="5943600" cy="7660229"/>
            <wp:effectExtent b="0" l="0" r="0" t="0"/>
            <wp:docPr descr="Fig. 1: Phylogenetic tree derived from partial 16S rRNA gene sequences using topology given by Maximum Likelihood (1000 bootstraps). Support values are indicated by the size of internal nodes. Strains used in this study are shown in bold. Phylogenetic trees were created using IQ-TREE v. 1.6.12 (Hoang et al. 2018), using GTR+F+I+I+R3 model determined by ModelFinder (Kalyaanamoorthy et al. 2017). Bootstrap values were calculated with 1000 replicates (Hoang et al. 2018). Samples for total genomic DNA were collected by harvesting 10 mL of each culture and centrifuging for 8 minutes at 8,000 x g.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 title="" id="37" name="Picture"/>
            <a:graphic>
              <a:graphicData uri="http://schemas.openxmlformats.org/drawingml/2006/picture">
                <pic:pic>
                  <pic:nvPicPr>
                    <pic:cNvPr descr="../Output/Figures/SFig.Tree.png" id="38" name="Picture"/>
                    <pic:cNvPicPr>
                      <a:picLocks noChangeArrowheads="1" noChangeAspect="1"/>
                    </pic:cNvPicPr>
                  </pic:nvPicPr>
                  <pic:blipFill>
                    <a:blip r:embed="rId36"/>
                    <a:stretch>
                      <a:fillRect/>
                    </a:stretch>
                  </pic:blipFill>
                  <pic:spPr bwMode="auto">
                    <a:xfrm>
                      <a:off x="0" y="0"/>
                      <a:ext cx="5943600" cy="7660229"/>
                    </a:xfrm>
                    <a:prstGeom prst="rect">
                      <a:avLst/>
                    </a:prstGeom>
                    <a:noFill/>
                    <a:ln w="9525">
                      <a:noFill/>
                      <a:headEnd/>
                      <a:tailEnd/>
                    </a:ln>
                  </pic:spPr>
                </pic:pic>
              </a:graphicData>
            </a:graphic>
          </wp:inline>
        </w:drawing>
      </w:r>
    </w:p>
    <w:p>
      <w:pPr>
        <w:pStyle w:val="ImageCaption"/>
      </w:pPr>
      <w:bookmarkStart w:id="39" w:name="fig:Genetics"/>
      <w:bookmarkEnd w:id="39"/>
      <w:r>
        <w:rPr>
          <w:bCs/>
          <w:b/>
        </w:rPr>
        <w:t xml:space="preserve">Fig.</w:t>
      </w:r>
      <w:r>
        <w:rPr>
          <w:bCs/>
          <w:b/>
        </w:rPr>
        <w:t xml:space="preserve"> </w:t>
      </w:r>
      <w:r>
        <w:t xml:space="preserve">1: Phylogenetic tree derived from partial 16S rRNA gene sequences using topology given by Maximum Likelihood (1000 bootstraps). Support values are indicated by the size of internal nodes. Strains used in this study are shown in bold. Phylogenetic trees were created using IQ-TREE v. 1.6.12</w:t>
      </w:r>
      <w:r>
        <w:t xml:space="preserve"> </w:t>
      </w:r>
      <w:r>
        <w:t xml:space="preserve">(Hoang et al. 2018)</w:t>
      </w:r>
      <w:r>
        <w:t xml:space="preserve">, using GTR+F+I+I+R3 model determined by ModelFinder</w:t>
      </w:r>
      <w:r>
        <w:t xml:space="preserve"> </w:t>
      </w:r>
      <w:r>
        <w:t xml:space="preserve">(Kalyaanamoorthy et al. 2017)</w:t>
      </w:r>
      <w:r>
        <w:t xml:space="preserve">. Bootstrap values were calculated with 1000 replicates</w:t>
      </w:r>
      <w:r>
        <w:t xml:space="preserve"> </w:t>
      </w:r>
      <w:r>
        <w:t xml:space="preserve">(Hoang et al. 2018)</w:t>
      </w:r>
      <w:r>
        <w:t xml:space="preserve">. Samples for total genomic DNA were collected by harvesting 10 mL of each culture and centrifuging for 8 minutes at 8,000 x g.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pPr>
        <w:pStyle w:val="BodyText"/>
      </w:pPr>
    </w:p>
    <w:p>
      <w:pPr>
        <w:pStyle w:val="CaptionedFigure"/>
      </w:pPr>
      <w:r>
        <w:drawing>
          <wp:inline>
            <wp:extent cx="5943600" cy="4457700"/>
            <wp:effectExtent b="0" l="0" r="0" t="0"/>
            <wp:docPr descr="Fig. 2: Growth curves, tracked as OD680 (A) and OD720 (B)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1000 to scale to the Y axis." title="" id="41" name="Picture"/>
            <a:graphic>
              <a:graphicData uri="http://schemas.openxmlformats.org/drawingml/2006/picture">
                <pic:pic>
                  <pic:nvPicPr>
                    <pic:cNvPr descr="../Output/Figures/SFig_GrowthCurve_OD680720.png" id="42" name="Picture"/>
                    <pic:cNvPicPr>
                      <a:picLocks noChangeArrowheads="1" noChangeAspect="1"/>
                    </pic:cNvPicPr>
                  </pic:nvPicPr>
                  <pic:blipFill>
                    <a:blip r:embed="rId4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43" w:name="fig:GrowthCurveOD680"/>
      <w:bookmarkEnd w:id="43"/>
      <w:r>
        <w:rPr>
          <w:bCs/>
          <w:b/>
        </w:rPr>
        <w:t xml:space="preserve">Fig.</w:t>
      </w:r>
      <w:r>
        <w:rPr>
          <w:bCs/>
          <w:b/>
        </w:rPr>
        <w:t xml:space="preserve"> </w:t>
      </w:r>
      <w:r>
        <w:t xml:space="preserve">2: Growth curves, tracked as OD</w:t>
      </w:r>
      <w:r>
        <w:rPr>
          <w:vertAlign w:val="subscript"/>
        </w:rPr>
        <w:t xml:space="preserve">680</w:t>
      </w:r>
      <w:r>
        <w:t xml:space="preserve"> </w:t>
      </w:r>
      <w:r>
        <w:t xml:space="preserve">(</w:t>
      </w:r>
      <w:r>
        <w:rPr>
          <w:bCs/>
          <w:b/>
        </w:rPr>
        <w:t xml:space="preserve">A</w:t>
      </w:r>
      <w:r>
        <w:t xml:space="preserve">) and OD</w:t>
      </w:r>
      <w:r>
        <w:rPr>
          <w:vertAlign w:val="subscript"/>
        </w:rPr>
        <w:t xml:space="preserve">720</w:t>
      </w:r>
      <w:r>
        <w:t xml:space="preserve"> </w:t>
      </w:r>
      <w:r>
        <w:t xml:space="preserve">(</w:t>
      </w:r>
      <w:r>
        <w:rPr>
          <w:bCs/>
          <w:b/>
        </w:rPr>
        <w:t xml:space="preserve">B</w:t>
      </w:r>
      <w:r>
        <w:t xml:space="preserve">) vs. elapsed time (d). Growth curves were estimated over 5-min intervals for two PC-rich cultures (056; dark green, 077; light green) and two PE-rich cultures (048; light red, 127; dark red)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1/1000 to scale to the Y axis.</w:t>
      </w:r>
    </w:p>
    <w:p>
      <w:pPr>
        <w:pStyle w:val="BodyText"/>
      </w:pPr>
    </w:p>
    <w:p>
      <w:pPr>
        <w:pStyle w:val="CaptionedFigure"/>
      </w:pPr>
      <w:r>
        <w:drawing>
          <wp:inline>
            <wp:extent cx="5943600" cy="4457700"/>
            <wp:effectExtent b="0" l="0" r="0" t="0"/>
            <wp:docPr descr="Fig. 3: (A) Growth curves (tracked as chlorophyll proxy OD680-OD720; Δ OD)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2000 to scale to the Y axis. (B) Logistic fits (thick lines) of chlorophyll proxy OD680-OD720 (Δ OD) vs. elapsed time (d). Growth curves (thin line) measured over 5-min intervals for each strain were also presented." title="" id="45" name="Picture"/>
            <a:graphic>
              <a:graphicData uri="http://schemas.openxmlformats.org/drawingml/2006/picture">
                <pic:pic>
                  <pic:nvPicPr>
                    <pic:cNvPr descr="../Output/Figures/SFig_GrowthCurve_ODDeltaFit.png" id="46" name="Picture"/>
                    <pic:cNvPicPr>
                      <a:picLocks noChangeArrowheads="1" noChangeAspect="1"/>
                    </pic:cNvPicPr>
                  </pic:nvPicPr>
                  <pic:blipFill>
                    <a:blip r:embed="rId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47" w:name="fig:GrowthCurveDeltaOD"/>
      <w:bookmarkEnd w:id="47"/>
      <w:r>
        <w:rPr>
          <w:bCs/>
          <w:b/>
        </w:rPr>
        <w:t xml:space="preserve">Fig.</w:t>
      </w:r>
      <w:r>
        <w:rPr>
          <w:bCs/>
          <w:b/>
        </w:rPr>
        <w:t xml:space="preserve"> </w:t>
      </w:r>
      <w:r>
        <w:t xml:space="preserve">3: (</w:t>
      </w:r>
      <w:r>
        <w:rPr>
          <w:bCs/>
          <w:b/>
        </w:rPr>
        <w:t xml:space="preserve">A</w:t>
      </w:r>
      <w:r>
        <w:t xml:space="preserve">) Growth curves (tracked as chlorophyll proxy OD</w:t>
      </w:r>
      <w:r>
        <w:rPr>
          <w:vertAlign w:val="subscript"/>
        </w:rPr>
        <w:t xml:space="preserve">680</w:t>
      </w:r>
      <w:r>
        <w:t xml:space="preserve">-OD</w:t>
      </w:r>
      <w:r>
        <w:rPr>
          <w:vertAlign w:val="subscript"/>
        </w:rPr>
        <w:t xml:space="preserve">720</w:t>
      </w:r>
      <w:r>
        <w:t xml:space="preserve">; Δ OD) vs. elapsed time (d). Growth curves were estimated over 5-min intervals for two PC-rich cultures (056; dark green, 077; light green) and two PE-rich cultures (048; light red, 127; dark red)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1/2000 to scale to the Y axis. (</w:t>
      </w:r>
      <w:r>
        <w:rPr>
          <w:bCs/>
          <w:b/>
        </w:rPr>
        <w:t xml:space="preserve">B</w:t>
      </w:r>
      <w:r>
        <w:t xml:space="preserve">) Logistic fits (thick lines) of chlorophyll proxy OD</w:t>
      </w:r>
      <w:r>
        <w:rPr>
          <w:vertAlign w:val="subscript"/>
        </w:rPr>
        <w:t xml:space="preserve">680</w:t>
      </w:r>
      <w:r>
        <w:t xml:space="preserve">-OD</w:t>
      </w:r>
      <w:r>
        <w:rPr>
          <w:vertAlign w:val="subscript"/>
        </w:rPr>
        <w:t xml:space="preserve">720</w:t>
      </w:r>
      <w:r>
        <w:t xml:space="preserve"> </w:t>
      </w:r>
      <w:r>
        <w:t xml:space="preserve">(Δ OD) vs. elapsed time (d). Growth curves (thin line) measured over 5-min intervals for each strain were also presented.</w:t>
      </w:r>
    </w:p>
    <w:p>
      <w:pPr>
        <w:pStyle w:val="BodyText"/>
      </w:pPr>
    </w:p>
    <w:p>
      <w:pPr>
        <w:pStyle w:val="CaptionedFigure"/>
      </w:pPr>
      <w:r>
        <w:drawing>
          <wp:inline>
            <wp:extent cx="5943600" cy="4457700"/>
            <wp:effectExtent b="0" l="0" r="0" t="0"/>
            <wp:docPr descr="Fig. 4: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title="" id="49" name="Picture"/>
            <a:graphic>
              <a:graphicData uri="http://schemas.openxmlformats.org/drawingml/2006/picture">
                <pic:pic>
                  <pic:nvPicPr>
                    <pic:cNvPr descr="../Output/Figures/Fig_GrowthRate_Light_PUR.png" id="50" name="Picture"/>
                    <pic:cNvPicPr>
                      <a:picLocks noChangeArrowheads="1" noChangeAspect="1"/>
                    </pic:cNvPicPr>
                  </pic:nvPicPr>
                  <pic:blipFill>
                    <a:blip r:embed="rId48"/>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1" w:name="fig:GrowthRateLightPUR"/>
      <w:bookmarkEnd w:id="51"/>
      <w:r>
        <w:rPr>
          <w:bCs/>
          <w:b/>
        </w:rPr>
        <w:t xml:space="preserve">Fig.</w:t>
      </w:r>
      <w:r>
        <w:rPr>
          <w:bCs/>
          <w:b/>
        </w:rPr>
        <w:t xml:space="preserve"> </w:t>
      </w:r>
      <w:r>
        <w:t xml:space="preserve">4: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p>
      <w:pPr>
        <w:pStyle w:val="BodyText"/>
      </w:pPr>
    </w:p>
    <w:p>
      <w:pPr>
        <w:pStyle w:val="CaptionedFigure"/>
      </w:pPr>
      <w:r>
        <w:drawing>
          <wp:inline>
            <wp:extent cx="5943600" cy="4457700"/>
            <wp:effectExtent b="0" l="0" r="0" t="0"/>
            <wp:docPr descr="Fig. 5: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 (h)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AR, estimated from data pooled for each photoperiod (points (± SE) connected by dashed lines), and estimated for all data across photoperiods (solid blue horizontal line ± SE), for each strain." title="" id="53" name="Picture"/>
            <a:graphic>
              <a:graphicData uri="http://schemas.openxmlformats.org/drawingml/2006/picture">
                <pic:pic>
                  <pic:nvPicPr>
                    <pic:cNvPr descr="../Output/Figures/SFig_GrowthRate_Photoperiod_PAR.png" id="54"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5" w:name="fig:GrowthRatePhotoperiodPAR"/>
      <w:bookmarkEnd w:id="55"/>
      <w:r>
        <w:rPr>
          <w:bCs/>
          <w:b/>
        </w:rPr>
        <w:t xml:space="preserve">Fig.</w:t>
      </w:r>
      <w:r>
        <w:rPr>
          <w:bCs/>
          <w:b/>
        </w:rPr>
        <w:t xml:space="preserve"> </w:t>
      </w:r>
      <w:r>
        <w:t xml:space="preserve">5: (</w:t>
      </w:r>
      <w:r>
        <w:rPr>
          <w:bCs/>
          <w:b/>
        </w:rPr>
        <w:t xml:space="preserve">A</w:t>
      </w:r>
      <w:r>
        <w:t xml:space="preserve">) Chlorophyll-specific exponential growth rates (d</w:t>
      </w:r>
      <w:r>
        <w:rPr>
          <w:vertAlign w:val="superscript"/>
        </w:rPr>
        <w:t xml:space="preserve">−1</w:t>
      </w:r>
      <w:r>
        <w:t xml:space="preserve">) vs. cumulative diel PAR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photoperiod (h)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PAR, estimated from data pooled for each photoperiod (points (± SE) connected by dashed lines), and estimated for all data across photoperiods (solid blue horizontal line ± SE), for each strain.</w:t>
      </w:r>
    </w:p>
    <w:p>
      <w:pPr>
        <w:pStyle w:val="BodyText"/>
      </w:pPr>
    </w:p>
    <w:p>
      <w:pPr>
        <w:pStyle w:val="CaptionedFigure"/>
      </w:pPr>
      <w:r>
        <w:drawing>
          <wp:inline>
            <wp:extent cx="5943600" cy="4457700"/>
            <wp:effectExtent b="0" l="0" r="0" t="0"/>
            <wp:docPr descr="Fig. 6: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AR, estimated from data pooled for each peak PAR (points (± SE) connected by dashed lines), and estimated for all data across all peak PAR, for each strain (solid blue horizontal line ± SE)." title="" id="57" name="Picture"/>
            <a:graphic>
              <a:graphicData uri="http://schemas.openxmlformats.org/drawingml/2006/picture">
                <pic:pic>
                  <pic:nvPicPr>
                    <pic:cNvPr descr="../Output/Figures/SFig_GrowthRate_Light_PAR.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9" w:name="fig:GrowthRateLightPAR"/>
      <w:bookmarkEnd w:id="59"/>
      <w:r>
        <w:rPr>
          <w:bCs/>
          <w:b/>
        </w:rPr>
        <w:t xml:space="preserve">Fig.</w:t>
      </w:r>
      <w:r>
        <w:rPr>
          <w:bCs/>
          <w:b/>
        </w:rPr>
        <w:t xml:space="preserve"> </w:t>
      </w:r>
      <w:r>
        <w:t xml:space="preserve">6: (</w:t>
      </w:r>
      <w:r>
        <w:rPr>
          <w:bCs/>
          <w:b/>
        </w:rPr>
        <w:t xml:space="preserve">A</w:t>
      </w:r>
      <w:r>
        <w:t xml:space="preserve">) Chlorophyll-specific exponential growth rates (d</w:t>
      </w:r>
      <w:r>
        <w:rPr>
          <w:vertAlign w:val="superscript"/>
        </w:rPr>
        <w:t xml:space="preserve">−1</w:t>
      </w:r>
      <w:r>
        <w:t xml:space="preserve">) vs. cumulative diel PAR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PAR, estimated from data pooled for each peak PAR (points (± SE) connected by dashed lines), and estimated for all data across all peak PAR, for each strain (solid blue horizontal line ± SE).</w:t>
      </w:r>
    </w:p>
    <w:p>
      <w:pPr>
        <w:pStyle w:val="BodyText"/>
      </w:pPr>
    </w:p>
    <w:p>
      <w:pPr>
        <w:pStyle w:val="CaptionedFigure"/>
      </w:pPr>
      <w:r>
        <w:drawing>
          <wp:inline>
            <wp:extent cx="5943600" cy="7641771"/>
            <wp:effectExtent b="0" l="0" r="0" t="0"/>
            <wp:docPr descr="Fig. 7: Changes of Phycobiliprotein to Chl a ratio (µg:µg) vs. cumulative diel PAR (µmol photons m−2d−1). Phycobiliprotein to Chl a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1" name="Picture"/>
            <a:graphic>
              <a:graphicData uri="http://schemas.openxmlformats.org/drawingml/2006/picture">
                <pic:pic>
                  <pic:nvPicPr>
                    <pic:cNvPr descr="../Output/Figures/SFig_PhycoChlaRatio.png" id="62" name="Picture"/>
                    <pic:cNvPicPr>
                      <a:picLocks noChangeArrowheads="1" noChangeAspect="1"/>
                    </pic:cNvPicPr>
                  </pic:nvPicPr>
                  <pic:blipFill>
                    <a:blip r:embed="rId6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3" w:name="fig:PhycoChlaRatio"/>
      <w:bookmarkEnd w:id="63"/>
      <w:r>
        <w:rPr>
          <w:bCs/>
          <w:b/>
        </w:rPr>
        <w:t xml:space="preserve">Fig.</w:t>
      </w:r>
      <w:r>
        <w:rPr>
          <w:bCs/>
          <w:b/>
        </w:rPr>
        <w:t xml:space="preserve"> </w:t>
      </w:r>
      <w:r>
        <w:t xml:space="preserve">7: Changes of Phycobiliprotein to Chl</w:t>
      </w:r>
      <w:r>
        <w:t xml:space="preserve"> </w:t>
      </w:r>
      <w:r>
        <w:rPr>
          <w:iCs/>
          <w:i/>
        </w:rPr>
        <w:t xml:space="preserve">a</w:t>
      </w:r>
      <w:r>
        <w:t xml:space="preserve"> </w:t>
      </w:r>
      <w:r>
        <w:t xml:space="preserve">ratio (µg:µg) vs. cumulative diel PAR (µmol photons m</w:t>
      </w:r>
      <w:r>
        <w:rPr>
          <w:vertAlign w:val="superscript"/>
        </w:rPr>
        <w:t xml:space="preserve">−2</w:t>
      </w:r>
      <w:r>
        <w:t xml:space="preserve">d</w:t>
      </w:r>
      <w:r>
        <w:rPr>
          <w:vertAlign w:val="superscript"/>
        </w:rPr>
        <w:t xml:space="preserve">−1</w:t>
      </w:r>
      <w:r>
        <w:t xml:space="preserve">). Phycobiliprotein to Chl</w:t>
      </w:r>
      <w:r>
        <w:t xml:space="preserve"> </w:t>
      </w:r>
      <w:r>
        <w:rPr>
          <w:iCs/>
          <w:i/>
        </w:rPr>
        <w:t xml:space="preserve">a</w:t>
      </w:r>
      <w:r>
        <w:t xml:space="preserve"> </w:t>
      </w:r>
      <w:r>
        <w:t xml:space="preserve">ratio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p>
    <w:p>
      <w:pPr>
        <w:pStyle w:val="CaptionedFigure"/>
      </w:pPr>
      <w:r>
        <w:drawing>
          <wp:inline>
            <wp:extent cx="5943600" cy="7641771"/>
            <wp:effectExtent b="0" l="0" r="0" t="0"/>
            <wp:docPr descr="Fig. 8: Effective absorption cross section of PSII (σPSII′; nm2 quanta−1) measured under diel peak PAR growth light under blue (Ex445nm) excitation vs. cumulative diel PAR (µmol photons m−2d−1).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5" name="Picture"/>
            <a:graphic>
              <a:graphicData uri="http://schemas.openxmlformats.org/drawingml/2006/picture">
                <pic:pic>
                  <pic:nvPicPr>
                    <pic:cNvPr descr="../Output/Figures/SFig_Sigma445.png" id="66" name="Picture"/>
                    <pic:cNvPicPr>
                      <a:picLocks noChangeArrowheads="1" noChangeAspect="1"/>
                    </pic:cNvPicPr>
                  </pic:nvPicPr>
                  <pic:blipFill>
                    <a:blip r:embed="rId64"/>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7" w:name="fig:Sigma445"/>
      <w:bookmarkEnd w:id="67"/>
      <w:r>
        <w:rPr>
          <w:bCs/>
          <w:b/>
        </w:rPr>
        <w:t xml:space="preserve">Fig.</w:t>
      </w:r>
      <w:r>
        <w:rPr>
          <w:bCs/>
          <w:b/>
        </w:rPr>
        <w:t xml:space="preserve"> </w:t>
      </w:r>
      <w:r>
        <w:t xml:space="preserve">8: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blue (Ex</w:t>
      </w:r>
      <w:r>
        <w:rPr>
          <w:vertAlign w:val="subscript"/>
        </w:rPr>
        <w:t xml:space="preserve">445nm</w:t>
      </w:r>
      <w:r>
        <w:t xml:space="preserve">) excitation vs. cumulative diel PAR (µmol photons m</w:t>
      </w:r>
      <w:r>
        <w:rPr>
          <w:vertAlign w:val="superscript"/>
        </w:rPr>
        <w:t xml:space="preserve">−2</w:t>
      </w:r>
      <w:r>
        <w:t xml:space="preserve">d</w:t>
      </w:r>
      <w:r>
        <w:rPr>
          <w:vertAlign w:val="superscript"/>
        </w:rPr>
        <w:t xml:space="preserve">−1</w:t>
      </w:r>
      <w:r>
        <w:t xml:space="preserve">). σ</w:t>
      </w:r>
      <w:r>
        <w:rPr>
          <w:vertAlign w:val="subscript"/>
        </w:rPr>
        <w:t xml:space="preserve">PSII</w:t>
      </w:r>
      <w:r>
        <w:t xml:space="preserve">′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BodyText"/>
      </w:pPr>
    </w:p>
    <w:p>
      <w:pPr>
        <w:pStyle w:val="CaptionedFigure"/>
      </w:pPr>
      <w:r>
        <w:drawing>
          <wp:inline>
            <wp:extent cx="5943600" cy="4457700"/>
            <wp:effectExtent b="0" l="0" r="0" t="0"/>
            <wp:docPr descr="Fig. 9: (A) Changes of effective absorption cross section of PSII (σPSII; nm2 quanta−1) measured at the dark period under orange (Ex590nm) excitation vs. the ratio of sum of µg phycobilins (PE, PC, APC protein, Phycobiliprotein) to µg Chl a. (B) Changes of effective absorption cross section of PSII (σPSII′; nm2 quanta−1) measured under diel peak PAR growth light under blue (Ex445nm) excitation vs. the ratio of sum of µg phycobilins (PE, PC, APC protein, Phycobiliprotein) to µg Chl a.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9" name="Picture"/>
            <a:graphic>
              <a:graphicData uri="http://schemas.openxmlformats.org/drawingml/2006/picture">
                <pic:pic>
                  <pic:nvPicPr>
                    <pic:cNvPr descr="../Output/Figures/SFig_SigmaPigMerge.png" id="70" name="Picture"/>
                    <pic:cNvPicPr>
                      <a:picLocks noChangeArrowheads="1" noChangeAspect="1"/>
                    </pic:cNvPicPr>
                  </pic:nvPicPr>
                  <pic:blipFill>
                    <a:blip r:embed="rId68"/>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1" w:name="fig:SigmaPig445"/>
      <w:bookmarkEnd w:id="71"/>
      <w:r>
        <w:rPr>
          <w:bCs/>
          <w:b/>
        </w:rPr>
        <w:t xml:space="preserve">Fig.</w:t>
      </w:r>
      <w:r>
        <w:rPr>
          <w:bCs/>
          <w:b/>
        </w:rPr>
        <w:t xml:space="preserve"> </w:t>
      </w:r>
      <w:r>
        <w:t xml:space="preserve">9: (</w:t>
      </w:r>
      <w:r>
        <w:rPr>
          <w:bCs/>
          <w:b/>
        </w:rPr>
        <w:t xml:space="preserve">A</w:t>
      </w:r>
      <w:r>
        <w:t xml:space="preserve">)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orange (Ex</w:t>
      </w:r>
      <w:r>
        <w:rPr>
          <w:vertAlign w:val="subscript"/>
        </w:rPr>
        <w:t xml:space="preserve">590nm</w:t>
      </w:r>
      <w:r>
        <w:t xml:space="preserve">) excitation vs. the ratio of sum of µg phycobilins (PE, PC, APC protein, Phycobiliprotein) to µg Chl</w:t>
      </w:r>
      <w:r>
        <w:t xml:space="preserve"> </w:t>
      </w:r>
      <w:r>
        <w:rPr>
          <w:iCs/>
          <w:i/>
        </w:rPr>
        <w:t xml:space="preserve">a</w:t>
      </w:r>
      <w:r>
        <w:t xml:space="preserve">. (</w:t>
      </w:r>
      <w:r>
        <w:rPr>
          <w:bCs/>
          <w:b/>
        </w:rPr>
        <w:t xml:space="preserve">B</w:t>
      </w:r>
      <w:r>
        <w:t xml:space="preserve">)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blue (Ex</w:t>
      </w:r>
      <w:r>
        <w:rPr>
          <w:vertAlign w:val="subscript"/>
        </w:rPr>
        <w:t xml:space="preserve">445nm</w:t>
      </w:r>
      <w:r>
        <w:t xml:space="preserve">) excitation vs. the ratio of sum of µg phycobilins (PE, PC, APC protein, Phycobiliprotein) to µg Chl</w:t>
      </w:r>
      <w:r>
        <w:t xml:space="preserve"> </w:t>
      </w:r>
      <w:r>
        <w:rPr>
          <w:iCs/>
          <w:i/>
        </w:rPr>
        <w:t xml:space="preserve">a</w:t>
      </w:r>
      <w:r>
        <w:t xml:space="preserve">. σ</w:t>
      </w:r>
      <w:r>
        <w:rPr>
          <w:vertAlign w:val="subscript"/>
        </w:rPr>
        <w:t xml:space="preserve">PSII</w:t>
      </w:r>
      <w:r>
        <w:t xml:space="preserve">′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BodyText"/>
      </w:pPr>
    </w:p>
    <w:p>
      <w:pPr>
        <w:pStyle w:val="CaptionedFigure"/>
      </w:pPr>
      <w:r>
        <w:drawing>
          <wp:inline>
            <wp:extent cx="5943600" cy="4457700"/>
            <wp:effectExtent b="0" l="0" r="0" t="0"/>
            <wp:docPr descr="Fig. 10: (A) Chlorophyll 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 PSII flux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600 together with 900 (orange) peak PAR µmol photons m−2s−1, when they were significantly different (ANOVA, p &lt; 0.05) from the fit of pooled data. (B) Alpha parameters of the initial rise of growth rate (α) vs. cumulative diel JVPSII, estimated from data pooled for each peak PAR (points (± SE) connected by dashed lines), and estimated for all data across all peak PAR, for each strain (solid blue horizontal line ± SE)." title="" id="73" name="Picture"/>
            <a:graphic>
              <a:graphicData uri="http://schemas.openxmlformats.org/drawingml/2006/picture">
                <pic:pic>
                  <pic:nvPicPr>
                    <pic:cNvPr descr="../Output/Figures/SFig_GrowthRate_JVPSII_Light_Chla.png" id="74" name="Picture"/>
                    <pic:cNvPicPr>
                      <a:picLocks noChangeArrowheads="1" noChangeAspect="1"/>
                    </pic:cNvPicPr>
                  </pic:nvPicPr>
                  <pic:blipFill>
                    <a:blip r:embed="rId7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5" w:name="fig:GrowthRateJVPSIILight"/>
      <w:bookmarkEnd w:id="75"/>
      <w:r>
        <w:rPr>
          <w:bCs/>
          <w:b/>
        </w:rPr>
        <w:t xml:space="preserve">Fig.</w:t>
      </w:r>
      <w:r>
        <w:rPr>
          <w:bCs/>
          <w:b/>
        </w:rPr>
        <w:t xml:space="preserve"> </w:t>
      </w:r>
      <w:r>
        <w:t xml:space="preserve">10: (</w:t>
      </w:r>
      <w:r>
        <w:rPr>
          <w:bCs/>
          <w:b/>
        </w:rPr>
        <w:t xml:space="preserve">A</w:t>
      </w:r>
      <w:r>
        <w:t xml:space="preserve">) Chlorophyll 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 PSII flux was estimated using FRRf induction curves with excitation of chlorophyll (Ex</w:t>
      </w:r>
      <w:r>
        <w:rPr>
          <w:vertAlign w:val="subscript"/>
        </w:rPr>
        <w:t xml:space="preserve">445nm</w:t>
      </w:r>
      <w:r>
        <w:t xml:space="preserve">, blue),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600 together with 900 (orange) peak PAR µmol photons m</w:t>
      </w:r>
      <w:r>
        <w:rPr>
          <w:vertAlign w:val="superscript"/>
        </w:rPr>
        <w:t xml:space="preserve">−2</w:t>
      </w:r>
      <w:r>
        <w:t xml:space="preserve">s</w:t>
      </w:r>
      <w:r>
        <w:rPr>
          <w:vertAlign w:val="superscript"/>
        </w:rPr>
        <w:t xml:space="preserve">−1</w:t>
      </w:r>
      <w:r>
        <w:t xml:space="preserve">,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peak PAR (points (± SE) connected by dashed lines), and estimated for all data across all peak PAR, for each strain (solid blue horizontal line ± SE).</w:t>
      </w:r>
    </w:p>
    <w:p>
      <w:pPr>
        <w:pStyle w:val="BodyText"/>
      </w:pPr>
    </w:p>
    <w:bookmarkEnd w:id="76"/>
    <w:bookmarkStart w:id="83" w:name="references"/>
    <w:p>
      <w:pPr>
        <w:pStyle w:val="Heading1"/>
      </w:pPr>
      <w:r>
        <w:t xml:space="preserve">References</w:t>
      </w:r>
    </w:p>
    <w:bookmarkStart w:id="82" w:name="refs"/>
    <w:bookmarkStart w:id="77"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77"/>
    <w:bookmarkStart w:id="79" w:name="ref-hoangUFBoot2ImprovingUltrafast2018"/>
    <w:p>
      <w:pPr>
        <w:pStyle w:val="Bibliography"/>
      </w:pPr>
      <w:r>
        <w:t xml:space="preserve">Hoang, D. T., O. Chernomor, A. von Haeseler, B. Q. Minh, and L. S. Vinh. 2018.</w:t>
      </w:r>
      <w:r>
        <w:t xml:space="preserve"> </w:t>
      </w:r>
      <w:r>
        <w:t xml:space="preserve">UFBoot2</w:t>
      </w:r>
      <w:r>
        <w:t xml:space="preserve">:</w:t>
      </w:r>
      <w:r>
        <w:t xml:space="preserve"> </w:t>
      </w:r>
      <w:r>
        <w:t xml:space="preserve">Improving</w:t>
      </w:r>
      <w:r>
        <w:t xml:space="preserve"> </w:t>
      </w:r>
      <w:r>
        <w:t xml:space="preserve">the</w:t>
      </w:r>
      <w:r>
        <w:t xml:space="preserve"> </w:t>
      </w:r>
      <w:r>
        <w:t xml:space="preserve">Ultrafast Bootstrap Approximation</w:t>
      </w:r>
      <w:r>
        <w:t xml:space="preserve">. Molecular Biology and Evolution</w:t>
      </w:r>
      <w:r>
        <w:t xml:space="preserve"> </w:t>
      </w:r>
      <w:r>
        <w:rPr>
          <w:bCs/>
          <w:b/>
        </w:rPr>
        <w:t xml:space="preserve">35</w:t>
      </w:r>
      <w:r>
        <w:t xml:space="preserve">: 518–522. doi:</w:t>
      </w:r>
      <w:hyperlink r:id="rId78">
        <w:r>
          <w:rPr>
            <w:rStyle w:val="Hyperlink"/>
          </w:rPr>
          <w:t xml:space="preserve">10.1093/molbev/msx281</w:t>
        </w:r>
      </w:hyperlink>
    </w:p>
    <w:bookmarkEnd w:id="79"/>
    <w:bookmarkStart w:id="81" w:name="X086947fcf331941d27badd04c8800179d921330"/>
    <w:p>
      <w:pPr>
        <w:pStyle w:val="Bibliography"/>
      </w:pPr>
      <w:r>
        <w:t xml:space="preserve">Kalyaanamoorthy, S., B. Q. Minh, T. K. F. Wong, A. von Haeseler, and L. S. Jermiin. 2017.</w:t>
      </w:r>
      <w:r>
        <w:t xml:space="preserve"> </w:t>
      </w:r>
      <w:r>
        <w:t xml:space="preserve">ModelFinder</w:t>
      </w:r>
      <w:r>
        <w:t xml:space="preserve">: Fast model selection for accurate phylogenetic estimates. Nature Methods</w:t>
      </w:r>
      <w:r>
        <w:t xml:space="preserve"> </w:t>
      </w:r>
      <w:r>
        <w:rPr>
          <w:bCs/>
          <w:b/>
        </w:rPr>
        <w:t xml:space="preserve">14</w:t>
      </w:r>
      <w:r>
        <w:t xml:space="preserve">: 587–589. doi:</w:t>
      </w:r>
      <w:hyperlink r:id="rId80">
        <w:r>
          <w:rPr>
            <w:rStyle w:val="Hyperlink"/>
          </w:rPr>
          <w:t xml:space="preserve">10.1038/nmeth.4285</w:t>
        </w:r>
      </w:hyperlink>
    </w:p>
    <w:bookmarkEnd w:id="81"/>
    <w:bookmarkEnd w:id="82"/>
    <w:bookmarkEnd w:id="83"/>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8" Target="media/rId48.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72" Target="media/rId72.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hyperlink" Id="rId80" Target="https://doi.org/10.1038/nmeth.4285" TargetMode="External" /><Relationship Type="http://schemas.openxmlformats.org/officeDocument/2006/relationships/hyperlink" Id="rId78" Target="https://doi.org/10.1093/molbev/msx28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80" Target="https://doi.org/10.1038/nmeth.4285" TargetMode="External" /><Relationship Type="http://schemas.openxmlformats.org/officeDocument/2006/relationships/hyperlink" Id="rId78" Target="https://doi.org/10.1093/molbev/msx28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 &amp; low; or high &amp; short; photoperiods and light differential growth yields and light-capture capacities of PhycoCyanin and PhycoErythrin-rich picocyanobacteria</dc:title>
  <dc:creator>Sylwia Śliwińska-Wilczewska1,2, Marta Konik3,4, Mireille Savoie1, Anabella Aguilera5,6, Naaman M. Omar1, and Douglas A. Campbell1,✉</dc:creator>
  <cp:keywords/>
  <dcterms:created xsi:type="dcterms:W3CDTF">2024-07-15T14:58:56Z</dcterms:created>
  <dcterms:modified xsi:type="dcterms:W3CDTF">2024-07-15T14:58:56Z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